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18" w:lineRule="atLeast"/>
        <w:ind w:left="150" w:right="0"/>
        <w:jc w:val="center"/>
        <w:rPr>
          <w:rFonts w:ascii="Arial" w:hAnsi="Arial" w:eastAsia="微软雅黑" w:cs="Arial"/>
          <w:color w:val="3D4B64"/>
          <w:sz w:val="19"/>
          <w:szCs w:val="19"/>
        </w:rPr>
      </w:pPr>
      <w:bookmarkStart w:id="0" w:name="_GoBack"/>
      <w:r>
        <w:rPr>
          <w:rFonts w:hint="default" w:ascii="Arial" w:hAnsi="Arial" w:eastAsia="微软雅黑" w:cs="Arial"/>
          <w:color w:val="3D4B64"/>
          <w:kern w:val="0"/>
          <w:sz w:val="19"/>
          <w:szCs w:val="19"/>
          <w:lang w:val="en-US" w:eastAsia="zh-CN" w:bidi="ar"/>
        </w:rPr>
        <w:t>（叙兴集团写字楼B栋装修项目）评标结果公示</w:t>
      </w:r>
      <w:bookmarkEnd w:id="0"/>
      <w:r>
        <w:rPr>
          <w:rFonts w:hint="default" w:ascii="Arial" w:hAnsi="Arial" w:eastAsia="微软雅黑" w:cs="Arial"/>
          <w:color w:val="3D4B64"/>
          <w:kern w:val="0"/>
          <w:sz w:val="19"/>
          <w:szCs w:val="19"/>
          <w:lang w:val="en-US" w:eastAsia="zh-CN" w:bidi="ar"/>
        </w:rPr>
        <w:t>（标准文本）</w:t>
      </w:r>
    </w:p>
    <w:tbl>
      <w:tblPr>
        <w:tblStyle w:val="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00"/>
        <w:gridCol w:w="3470"/>
        <w:gridCol w:w="2529"/>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4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项目及标段名称</w:t>
            </w:r>
          </w:p>
        </w:tc>
        <w:tc>
          <w:tcPr>
            <w:tcW w:w="8881" w:type="dxa"/>
            <w:gridSpan w:val="3"/>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rPr>
            </w:pPr>
            <w:r>
              <w:rPr>
                <w:rFonts w:hint="eastAsia" w:ascii="Arial" w:hAnsi="Arial" w:eastAsia="微软雅黑" w:cs="Arial"/>
                <w:color w:val="3D4B64"/>
                <w:kern w:val="0"/>
                <w:sz w:val="19"/>
                <w:szCs w:val="19"/>
                <w:lang w:val="en-US" w:eastAsia="zh-CN" w:bidi="ar"/>
              </w:rPr>
              <w:t xml:space="preserve">叙兴集团写字楼B栋装修项目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4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项目业主</w:t>
            </w:r>
          </w:p>
        </w:tc>
        <w:tc>
          <w:tcPr>
            <w:tcW w:w="347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sz w:val="19"/>
                <w:szCs w:val="19"/>
              </w:rPr>
              <w:t>叙永金恒鑫矿产资源开发有限责任公司</w:t>
            </w:r>
          </w:p>
        </w:tc>
        <w:tc>
          <w:tcPr>
            <w:tcW w:w="252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项目业主联系电话</w:t>
            </w:r>
          </w:p>
        </w:tc>
        <w:tc>
          <w:tcPr>
            <w:tcW w:w="2882"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sz w:val="19"/>
                <w:szCs w:val="19"/>
              </w:rPr>
              <w:t>18283011968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w:t>
            </w:r>
          </w:p>
        </w:tc>
        <w:tc>
          <w:tcPr>
            <w:tcW w:w="347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sz w:val="19"/>
                <w:szCs w:val="19"/>
              </w:rPr>
              <w:t>叙永金恒鑫矿产资源开发有限责任公司</w:t>
            </w:r>
          </w:p>
        </w:tc>
        <w:tc>
          <w:tcPr>
            <w:tcW w:w="252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招标人联系电话</w:t>
            </w:r>
          </w:p>
        </w:tc>
        <w:tc>
          <w:tcPr>
            <w:tcW w:w="2882"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sz w:val="19"/>
                <w:szCs w:val="19"/>
              </w:rPr>
              <w:t>18283011968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w:t>
            </w:r>
          </w:p>
        </w:tc>
        <w:tc>
          <w:tcPr>
            <w:tcW w:w="347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四川达通工程管理咨询有限公司</w:t>
            </w:r>
          </w:p>
        </w:tc>
        <w:tc>
          <w:tcPr>
            <w:tcW w:w="252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招标代理机构联系电话</w:t>
            </w:r>
          </w:p>
        </w:tc>
        <w:tc>
          <w:tcPr>
            <w:tcW w:w="2882"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028-86983086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开标地点</w:t>
            </w:r>
          </w:p>
        </w:tc>
        <w:tc>
          <w:tcPr>
            <w:tcW w:w="347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四川达通工程管理咨询有限公司</w:t>
            </w:r>
          </w:p>
        </w:tc>
        <w:tc>
          <w:tcPr>
            <w:tcW w:w="252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开标时间</w:t>
            </w:r>
          </w:p>
        </w:tc>
        <w:tc>
          <w:tcPr>
            <w:tcW w:w="2882"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2022-0</w:t>
            </w:r>
            <w:r>
              <w:rPr>
                <w:rFonts w:hint="eastAsia" w:ascii="Arial" w:hAnsi="Arial" w:eastAsia="微软雅黑" w:cs="Arial"/>
                <w:color w:val="3D4B64"/>
                <w:kern w:val="0"/>
                <w:sz w:val="19"/>
                <w:szCs w:val="19"/>
                <w:lang w:val="en-US" w:eastAsia="zh-CN" w:bidi="ar"/>
              </w:rPr>
              <w:t>4</w:t>
            </w:r>
            <w:r>
              <w:rPr>
                <w:rFonts w:hint="default" w:ascii="Arial" w:hAnsi="Arial" w:eastAsia="微软雅黑" w:cs="Arial"/>
                <w:color w:val="3D4B64"/>
                <w:kern w:val="0"/>
                <w:sz w:val="19"/>
                <w:szCs w:val="19"/>
                <w:lang w:val="en-US" w:eastAsia="zh-CN" w:bidi="ar"/>
              </w:rPr>
              <w:t>-2</w:t>
            </w:r>
            <w:r>
              <w:rPr>
                <w:rFonts w:hint="eastAsia" w:ascii="Arial" w:hAnsi="Arial" w:eastAsia="微软雅黑" w:cs="Arial"/>
                <w:color w:val="3D4B64"/>
                <w:kern w:val="0"/>
                <w:sz w:val="19"/>
                <w:szCs w:val="19"/>
                <w:lang w:val="en-US" w:eastAsia="zh-CN" w:bidi="ar"/>
              </w:rPr>
              <w:t>2</w:t>
            </w:r>
            <w:r>
              <w:rPr>
                <w:rFonts w:hint="default" w:ascii="Arial" w:hAnsi="Arial" w:eastAsia="微软雅黑" w:cs="Arial"/>
                <w:color w:val="3D4B64"/>
                <w:kern w:val="0"/>
                <w:sz w:val="19"/>
                <w:szCs w:val="19"/>
                <w:lang w:val="en-US" w:eastAsia="zh-CN" w:bidi="ar"/>
              </w:rPr>
              <w:t xml:space="preserve"> 09:30:00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公示期</w:t>
            </w:r>
          </w:p>
        </w:tc>
        <w:tc>
          <w:tcPr>
            <w:tcW w:w="347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rPr>
            </w:pPr>
            <w:r>
              <w:rPr>
                <w:rFonts w:hint="default" w:ascii="Arial" w:hAnsi="Arial" w:eastAsia="微软雅黑" w:cs="Arial"/>
                <w:color w:val="3D4B64"/>
                <w:kern w:val="0"/>
                <w:sz w:val="19"/>
                <w:szCs w:val="19"/>
                <w:lang w:val="en-US" w:eastAsia="zh-CN" w:bidi="ar"/>
              </w:rPr>
              <w:t>2022-0</w:t>
            </w:r>
            <w:r>
              <w:rPr>
                <w:rFonts w:hint="eastAsia" w:ascii="Arial" w:hAnsi="Arial" w:eastAsia="微软雅黑" w:cs="Arial"/>
                <w:color w:val="3D4B64"/>
                <w:kern w:val="0"/>
                <w:sz w:val="19"/>
                <w:szCs w:val="19"/>
                <w:lang w:val="en-US" w:eastAsia="zh-CN" w:bidi="ar"/>
              </w:rPr>
              <w:t>4</w:t>
            </w:r>
            <w:r>
              <w:rPr>
                <w:rFonts w:hint="default" w:ascii="Arial" w:hAnsi="Arial" w:eastAsia="微软雅黑" w:cs="Arial"/>
                <w:color w:val="3D4B64"/>
                <w:kern w:val="0"/>
                <w:sz w:val="19"/>
                <w:szCs w:val="19"/>
                <w:lang w:val="en-US" w:eastAsia="zh-CN" w:bidi="ar"/>
              </w:rPr>
              <w:t>-2</w:t>
            </w:r>
            <w:r>
              <w:rPr>
                <w:rFonts w:hint="eastAsia" w:ascii="Arial" w:hAnsi="Arial" w:eastAsia="微软雅黑" w:cs="Arial"/>
                <w:color w:val="3D4B64"/>
                <w:kern w:val="0"/>
                <w:sz w:val="19"/>
                <w:szCs w:val="19"/>
                <w:lang w:val="en-US" w:eastAsia="zh-CN" w:bidi="ar"/>
              </w:rPr>
              <w:t>2</w:t>
            </w:r>
            <w:r>
              <w:rPr>
                <w:rFonts w:hint="default" w:ascii="Arial" w:hAnsi="Arial" w:eastAsia="微软雅黑" w:cs="Arial"/>
                <w:color w:val="3D4B64"/>
                <w:kern w:val="0"/>
                <w:sz w:val="19"/>
                <w:szCs w:val="19"/>
                <w:lang w:val="en-US" w:eastAsia="zh-CN" w:bidi="ar"/>
              </w:rPr>
              <w:t xml:space="preserve"> 至 2022-0</w:t>
            </w:r>
            <w:r>
              <w:rPr>
                <w:rFonts w:hint="eastAsia" w:ascii="Arial" w:hAnsi="Arial" w:eastAsia="微软雅黑" w:cs="Arial"/>
                <w:color w:val="3D4B64"/>
                <w:kern w:val="0"/>
                <w:sz w:val="19"/>
                <w:szCs w:val="19"/>
                <w:lang w:val="en-US" w:eastAsia="zh-CN" w:bidi="ar"/>
              </w:rPr>
              <w:t>4</w:t>
            </w:r>
            <w:r>
              <w:rPr>
                <w:rFonts w:hint="default" w:ascii="Arial" w:hAnsi="Arial" w:eastAsia="微软雅黑" w:cs="Arial"/>
                <w:color w:val="3D4B64"/>
                <w:kern w:val="0"/>
                <w:sz w:val="19"/>
                <w:szCs w:val="19"/>
                <w:lang w:val="en-US" w:eastAsia="zh-CN" w:bidi="ar"/>
              </w:rPr>
              <w:t>-2</w:t>
            </w:r>
            <w:r>
              <w:rPr>
                <w:rFonts w:hint="eastAsia" w:ascii="Arial" w:hAnsi="Arial" w:eastAsia="微软雅黑" w:cs="Arial"/>
                <w:color w:val="3D4B64"/>
                <w:kern w:val="0"/>
                <w:sz w:val="19"/>
                <w:szCs w:val="19"/>
                <w:lang w:val="en-US" w:eastAsia="zh-CN" w:bidi="ar"/>
              </w:rPr>
              <w:t>6</w:t>
            </w:r>
          </w:p>
        </w:tc>
        <w:tc>
          <w:tcPr>
            <w:tcW w:w="252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p>
        </w:tc>
        <w:tc>
          <w:tcPr>
            <w:tcW w:w="2882"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p>
        </w:tc>
      </w:tr>
    </w:tbl>
    <w:p>
      <w:pPr>
        <w:rPr>
          <w:vanish/>
          <w:sz w:val="24"/>
          <w:szCs w:val="24"/>
        </w:rPr>
      </w:pPr>
    </w:p>
    <w:tbl>
      <w:tblPr>
        <w:tblStyle w:val="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00"/>
        <w:gridCol w:w="2280"/>
        <w:gridCol w:w="2100"/>
        <w:gridCol w:w="1500"/>
        <w:gridCol w:w="210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中标候选人及排序</w:t>
            </w:r>
          </w:p>
        </w:tc>
        <w:tc>
          <w:tcPr>
            <w:tcW w:w="22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中标候选人名称</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投标报价</w:t>
            </w:r>
          </w:p>
        </w:tc>
        <w:tc>
          <w:tcPr>
            <w:tcW w:w="1500" w:type="dxa"/>
            <w:shd w:val="clear" w:color="auto" w:fill="auto"/>
            <w:vAlign w:val="center"/>
          </w:tcPr>
          <w:p>
            <w:pPr>
              <w:keepNext w:val="0"/>
              <w:keepLines w:val="0"/>
              <w:widowControl/>
              <w:suppressLineNumbers w:val="0"/>
              <w:spacing w:before="0" w:beforeAutospacing="0" w:after="0" w:afterAutospacing="0" w:line="18" w:lineRule="atLeast"/>
              <w:ind w:left="0" w:leftChars="0" w:right="0" w:rightChars="0"/>
              <w:jc w:val="left"/>
              <w:rPr>
                <w:rFonts w:hint="default" w:ascii="Arial" w:hAnsi="Arial" w:eastAsia="微软雅黑" w:cs="Arial"/>
                <w:b w:val="0"/>
                <w:bCs w:val="0"/>
                <w:i w:val="0"/>
                <w:iCs w:val="0"/>
                <w:color w:val="3D4B64"/>
                <w:kern w:val="2"/>
                <w:sz w:val="19"/>
                <w:szCs w:val="19"/>
                <w:lang w:val="en-US" w:eastAsia="zh-CN" w:bidi="ar-SA"/>
              </w:rPr>
            </w:pPr>
            <w:r>
              <w:rPr>
                <w:rFonts w:hint="default" w:ascii="Arial" w:hAnsi="Arial" w:eastAsia="微软雅黑" w:cs="Arial"/>
                <w:b w:val="0"/>
                <w:bCs w:val="0"/>
                <w:i w:val="0"/>
                <w:iCs w:val="0"/>
                <w:color w:val="3D4B64"/>
                <w:kern w:val="0"/>
                <w:sz w:val="19"/>
                <w:szCs w:val="19"/>
                <w:lang w:val="en-US" w:eastAsia="zh-CN" w:bidi="ar"/>
              </w:rPr>
              <w:t>综合评标得分</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c>
          <w:tcPr>
            <w:tcW w:w="179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第一名</w:t>
            </w:r>
          </w:p>
        </w:tc>
        <w:tc>
          <w:tcPr>
            <w:tcW w:w="22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b w:val="0"/>
                <w:bCs w:val="0"/>
                <w:i w:val="0"/>
                <w:iCs w:val="0"/>
                <w:color w:val="3D4B64"/>
                <w:sz w:val="19"/>
                <w:szCs w:val="19"/>
                <w:lang w:val="en-US" w:eastAsia="zh-CN"/>
              </w:rPr>
            </w:pPr>
            <w:r>
              <w:rPr>
                <w:rFonts w:hint="eastAsia" w:ascii="Arial" w:hAnsi="Arial" w:eastAsia="微软雅黑" w:cs="Arial"/>
                <w:b w:val="0"/>
                <w:bCs w:val="0"/>
                <w:i w:val="0"/>
                <w:iCs w:val="0"/>
                <w:color w:val="3D4B64"/>
                <w:sz w:val="19"/>
                <w:szCs w:val="19"/>
                <w:lang w:val="en-US" w:eastAsia="zh-CN"/>
              </w:rPr>
              <w:t>四川凯义建筑工程有限公司</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lang w:val="en-US" w:eastAsia="zh-CN"/>
              </w:rPr>
            </w:pPr>
            <w:r>
              <w:rPr>
                <w:rFonts w:hint="eastAsia" w:ascii="Arial" w:hAnsi="Arial" w:eastAsia="微软雅黑" w:cs="Arial"/>
                <w:b w:val="0"/>
                <w:bCs w:val="0"/>
                <w:i w:val="0"/>
                <w:iCs w:val="0"/>
                <w:color w:val="3D4B64"/>
                <w:kern w:val="0"/>
                <w:sz w:val="19"/>
                <w:szCs w:val="19"/>
                <w:lang w:val="en-US" w:eastAsia="zh-CN" w:bidi="ar"/>
              </w:rPr>
              <w:t>下浮5.12%</w:t>
            </w:r>
          </w:p>
        </w:tc>
        <w:tc>
          <w:tcPr>
            <w:tcW w:w="1500" w:type="dxa"/>
            <w:shd w:val="clear" w:color="auto" w:fill="auto"/>
            <w:vAlign w:val="center"/>
          </w:tcPr>
          <w:p>
            <w:pPr>
              <w:keepNext w:val="0"/>
              <w:keepLines w:val="0"/>
              <w:widowControl/>
              <w:suppressLineNumbers w:val="0"/>
              <w:spacing w:before="0" w:beforeAutospacing="0" w:after="0" w:afterAutospacing="0" w:line="18" w:lineRule="atLeast"/>
              <w:ind w:left="0" w:leftChars="0" w:right="0" w:rightChars="0"/>
              <w:jc w:val="left"/>
              <w:rPr>
                <w:rFonts w:hint="default" w:ascii="Arial" w:hAnsi="Arial" w:eastAsia="微软雅黑" w:cs="Arial"/>
                <w:b w:val="0"/>
                <w:bCs w:val="0"/>
                <w:i w:val="0"/>
                <w:iCs w:val="0"/>
                <w:color w:val="3D4B64"/>
                <w:kern w:val="2"/>
                <w:sz w:val="19"/>
                <w:szCs w:val="19"/>
                <w:lang w:val="en-US" w:eastAsia="zh-CN" w:bidi="ar-SA"/>
              </w:rPr>
            </w:pPr>
            <w:r>
              <w:rPr>
                <w:rFonts w:hint="eastAsia" w:ascii="Arial" w:hAnsi="Arial" w:eastAsia="微软雅黑" w:cs="Arial"/>
                <w:b w:val="0"/>
                <w:bCs w:val="0"/>
                <w:i w:val="0"/>
                <w:iCs w:val="0"/>
                <w:color w:val="3D4B64"/>
                <w:kern w:val="2"/>
                <w:sz w:val="19"/>
                <w:szCs w:val="19"/>
                <w:lang w:val="en-US" w:eastAsia="zh-CN" w:bidi="ar-SA"/>
              </w:rPr>
              <w:t>88.10</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c>
          <w:tcPr>
            <w:tcW w:w="179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第二名</w:t>
            </w:r>
          </w:p>
        </w:tc>
        <w:tc>
          <w:tcPr>
            <w:tcW w:w="22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b w:val="0"/>
                <w:bCs w:val="0"/>
                <w:i w:val="0"/>
                <w:iCs w:val="0"/>
                <w:color w:val="3D4B64"/>
                <w:sz w:val="19"/>
                <w:szCs w:val="19"/>
                <w:lang w:eastAsia="zh-CN"/>
              </w:rPr>
            </w:pPr>
            <w:r>
              <w:rPr>
                <w:rFonts w:hint="eastAsia" w:ascii="Arial" w:hAnsi="Arial" w:eastAsia="微软雅黑" w:cs="Arial"/>
                <w:b w:val="0"/>
                <w:bCs w:val="0"/>
                <w:i w:val="0"/>
                <w:iCs w:val="0"/>
                <w:color w:val="3D4B64"/>
                <w:sz w:val="19"/>
                <w:szCs w:val="19"/>
                <w:lang w:eastAsia="zh-CN"/>
              </w:rPr>
              <w:t>四川夕云项目管理有限公司</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lang w:val="en-US"/>
              </w:rPr>
            </w:pPr>
            <w:r>
              <w:rPr>
                <w:rFonts w:hint="eastAsia" w:ascii="Arial" w:hAnsi="Arial" w:eastAsia="微软雅黑" w:cs="Arial"/>
                <w:b w:val="0"/>
                <w:bCs w:val="0"/>
                <w:i w:val="0"/>
                <w:iCs w:val="0"/>
                <w:color w:val="3D4B64"/>
                <w:kern w:val="0"/>
                <w:sz w:val="19"/>
                <w:szCs w:val="19"/>
                <w:lang w:val="en-US" w:eastAsia="zh-CN" w:bidi="ar"/>
              </w:rPr>
              <w:t>下浮5.11%</w:t>
            </w:r>
          </w:p>
        </w:tc>
        <w:tc>
          <w:tcPr>
            <w:tcW w:w="1500" w:type="dxa"/>
            <w:shd w:val="clear" w:color="auto" w:fill="auto"/>
            <w:vAlign w:val="center"/>
          </w:tcPr>
          <w:p>
            <w:pPr>
              <w:keepNext w:val="0"/>
              <w:keepLines w:val="0"/>
              <w:widowControl/>
              <w:suppressLineNumbers w:val="0"/>
              <w:spacing w:before="0" w:beforeAutospacing="0" w:after="0" w:afterAutospacing="0" w:line="18" w:lineRule="atLeast"/>
              <w:ind w:left="0" w:leftChars="0" w:right="0" w:rightChars="0"/>
              <w:jc w:val="left"/>
              <w:rPr>
                <w:rFonts w:hint="default" w:ascii="Arial" w:hAnsi="Arial" w:eastAsia="微软雅黑" w:cs="Arial"/>
                <w:b w:val="0"/>
                <w:bCs w:val="0"/>
                <w:i w:val="0"/>
                <w:iCs w:val="0"/>
                <w:color w:val="3D4B64"/>
                <w:kern w:val="2"/>
                <w:sz w:val="19"/>
                <w:szCs w:val="19"/>
                <w:lang w:val="en-US" w:eastAsia="zh-CN" w:bidi="ar-SA"/>
              </w:rPr>
            </w:pPr>
            <w:r>
              <w:rPr>
                <w:rFonts w:hint="eastAsia" w:ascii="Arial" w:hAnsi="Arial" w:eastAsia="微软雅黑" w:cs="Arial"/>
                <w:b w:val="0"/>
                <w:bCs w:val="0"/>
                <w:i w:val="0"/>
                <w:iCs w:val="0"/>
                <w:color w:val="3D4B64"/>
                <w:kern w:val="2"/>
                <w:sz w:val="19"/>
                <w:szCs w:val="19"/>
                <w:lang w:val="en-US" w:eastAsia="zh-CN" w:bidi="ar-SA"/>
              </w:rPr>
              <w:t>85.70</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c>
          <w:tcPr>
            <w:tcW w:w="179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第三名</w:t>
            </w:r>
          </w:p>
        </w:tc>
        <w:tc>
          <w:tcPr>
            <w:tcW w:w="228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b w:val="0"/>
                <w:bCs w:val="0"/>
                <w:i w:val="0"/>
                <w:iCs w:val="0"/>
                <w:color w:val="3D4B64"/>
                <w:sz w:val="19"/>
                <w:szCs w:val="19"/>
                <w:lang w:eastAsia="zh-CN"/>
              </w:rPr>
            </w:pPr>
            <w:r>
              <w:rPr>
                <w:rFonts w:hint="eastAsia" w:ascii="Arial" w:hAnsi="Arial" w:eastAsia="微软雅黑" w:cs="Arial"/>
                <w:b w:val="0"/>
                <w:bCs w:val="0"/>
                <w:i w:val="0"/>
                <w:iCs w:val="0"/>
                <w:color w:val="3D4B64"/>
                <w:sz w:val="19"/>
                <w:szCs w:val="19"/>
                <w:lang w:eastAsia="zh-CN"/>
              </w:rPr>
              <w:t>泸州锦扬建设工程有限公司</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lang w:val="en-US" w:eastAsia="zh-CN"/>
              </w:rPr>
            </w:pPr>
            <w:r>
              <w:rPr>
                <w:rFonts w:hint="eastAsia" w:ascii="Arial" w:hAnsi="Arial" w:eastAsia="微软雅黑" w:cs="Arial"/>
                <w:b w:val="0"/>
                <w:bCs w:val="0"/>
                <w:i w:val="0"/>
                <w:iCs w:val="0"/>
                <w:color w:val="3D4B64"/>
                <w:sz w:val="19"/>
                <w:szCs w:val="19"/>
                <w:lang w:eastAsia="zh-CN"/>
              </w:rPr>
              <w:t>下浮</w:t>
            </w:r>
            <w:r>
              <w:rPr>
                <w:rFonts w:hint="eastAsia" w:ascii="Arial" w:hAnsi="Arial" w:eastAsia="微软雅黑" w:cs="Arial"/>
                <w:b w:val="0"/>
                <w:bCs w:val="0"/>
                <w:i w:val="0"/>
                <w:iCs w:val="0"/>
                <w:color w:val="3D4B64"/>
                <w:sz w:val="19"/>
                <w:szCs w:val="19"/>
                <w:lang w:val="en-US" w:eastAsia="zh-CN"/>
              </w:rPr>
              <w:t>5.02%</w:t>
            </w:r>
          </w:p>
        </w:tc>
        <w:tc>
          <w:tcPr>
            <w:tcW w:w="1500" w:type="dxa"/>
            <w:shd w:val="clear" w:color="auto" w:fill="auto"/>
            <w:vAlign w:val="center"/>
          </w:tcPr>
          <w:p>
            <w:pPr>
              <w:keepNext w:val="0"/>
              <w:keepLines w:val="0"/>
              <w:widowControl/>
              <w:suppressLineNumbers w:val="0"/>
              <w:spacing w:before="0" w:beforeAutospacing="0" w:after="0" w:afterAutospacing="0" w:line="18" w:lineRule="atLeast"/>
              <w:ind w:left="0" w:leftChars="0" w:right="0" w:rightChars="0"/>
              <w:jc w:val="left"/>
              <w:rPr>
                <w:rFonts w:hint="default" w:ascii="Arial" w:hAnsi="Arial" w:eastAsia="微软雅黑" w:cs="Arial"/>
                <w:b w:val="0"/>
                <w:bCs w:val="0"/>
                <w:i w:val="0"/>
                <w:iCs w:val="0"/>
                <w:color w:val="3D4B64"/>
                <w:kern w:val="2"/>
                <w:sz w:val="19"/>
                <w:szCs w:val="19"/>
                <w:lang w:val="en-US" w:eastAsia="zh-CN" w:bidi="ar-SA"/>
              </w:rPr>
            </w:pPr>
            <w:r>
              <w:rPr>
                <w:rFonts w:hint="eastAsia" w:ascii="Arial" w:hAnsi="Arial" w:eastAsia="微软雅黑" w:cs="Arial"/>
                <w:b w:val="0"/>
                <w:bCs w:val="0"/>
                <w:i w:val="0"/>
                <w:iCs w:val="0"/>
                <w:color w:val="3D4B64"/>
                <w:kern w:val="2"/>
                <w:sz w:val="19"/>
                <w:szCs w:val="19"/>
                <w:lang w:val="en-US" w:eastAsia="zh-CN" w:bidi="ar-SA"/>
              </w:rPr>
              <w:t>85.30</w:t>
            </w:r>
          </w:p>
        </w:tc>
        <w:tc>
          <w:tcPr>
            <w:tcW w:w="21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c>
          <w:tcPr>
            <w:tcW w:w="179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p>
        </w:tc>
      </w:tr>
    </w:tbl>
    <w:p>
      <w:pPr>
        <w:rPr>
          <w:vanish/>
          <w:sz w:val="24"/>
          <w:szCs w:val="24"/>
        </w:rPr>
      </w:pPr>
    </w:p>
    <w:tbl>
      <w:tblPr>
        <w:tblStyle w:val="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00"/>
        <w:gridCol w:w="1177"/>
        <w:gridCol w:w="1458"/>
        <w:gridCol w:w="3010"/>
        <w:gridCol w:w="180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92"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0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1177"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446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384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177"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117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魏再勇</w:t>
            </w: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二级建造师</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rPr>
            </w:pPr>
            <w:r>
              <w:rPr>
                <w:rFonts w:hint="default" w:ascii="Arial" w:hAnsi="Arial" w:eastAsia="微软雅黑" w:cs="Arial"/>
                <w:color w:val="3D4B64"/>
                <w:kern w:val="0"/>
                <w:sz w:val="19"/>
                <w:szCs w:val="19"/>
                <w:lang w:val="en-US" w:eastAsia="zh-CN" w:bidi="ar"/>
              </w:rPr>
              <w:t>川</w:t>
            </w:r>
            <w:r>
              <w:rPr>
                <w:rFonts w:hint="eastAsia" w:ascii="Arial" w:hAnsi="Arial" w:eastAsia="微软雅黑" w:cs="Arial"/>
                <w:color w:val="3D4B64"/>
                <w:kern w:val="0"/>
                <w:sz w:val="19"/>
                <w:szCs w:val="19"/>
                <w:lang w:val="en-US" w:eastAsia="zh-CN" w:bidi="ar"/>
              </w:rPr>
              <w:t>251141538266</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建筑施工</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117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eastAsia" w:ascii="Arial" w:hAnsi="Arial" w:eastAsia="微软雅黑" w:cs="Arial"/>
                <w:color w:val="3D4B64"/>
                <w:kern w:val="0"/>
                <w:sz w:val="19"/>
                <w:szCs w:val="19"/>
                <w:lang w:val="en-US" w:eastAsia="zh-CN" w:bidi="ar"/>
              </w:rPr>
              <w:t>朱光亚</w:t>
            </w: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二级建造师</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val="en-US" w:eastAsia="zh-CN"/>
              </w:rPr>
              <w:t>川251202105856</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建筑施工</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92"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1177"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446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384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177"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117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赵明兵</w:t>
            </w: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建造师证</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eastAsia="zh-CN"/>
              </w:rPr>
              <w:t>川</w:t>
            </w:r>
            <w:r>
              <w:rPr>
                <w:rFonts w:hint="eastAsia" w:ascii="Arial" w:hAnsi="Arial" w:eastAsia="微软雅黑" w:cs="Arial"/>
                <w:color w:val="3D4B64"/>
                <w:sz w:val="19"/>
                <w:szCs w:val="19"/>
                <w:lang w:val="en-US" w:eastAsia="zh-CN"/>
              </w:rPr>
              <w:t>251151624489</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建筑施工</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117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王泽林</w:t>
            </w: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职称证</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val="en-US" w:eastAsia="zh-CN"/>
              </w:rPr>
              <w:t>31531388</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建筑施工</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92" w:type="dxa"/>
            <w:gridSpan w:val="6"/>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职务</w:t>
            </w:r>
          </w:p>
        </w:tc>
        <w:tc>
          <w:tcPr>
            <w:tcW w:w="1177" w:type="dxa"/>
            <w:vMerge w:val="restar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姓名</w:t>
            </w:r>
          </w:p>
        </w:tc>
        <w:tc>
          <w:tcPr>
            <w:tcW w:w="4468"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执业或职业资格</w:t>
            </w:r>
          </w:p>
        </w:tc>
        <w:tc>
          <w:tcPr>
            <w:tcW w:w="3847" w:type="dxa"/>
            <w:gridSpan w:val="2"/>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177" w:type="dxa"/>
            <w:vMerge w:val="continue"/>
            <w:shd w:val="clear" w:color="auto" w:fill="auto"/>
            <w:vAlign w:val="center"/>
          </w:tcPr>
          <w:p>
            <w:pPr>
              <w:jc w:val="left"/>
              <w:rPr>
                <w:rFonts w:hint="default" w:ascii="Arial" w:hAnsi="Arial" w:eastAsia="微软雅黑" w:cs="Arial"/>
                <w:b w:val="0"/>
                <w:bCs w:val="0"/>
                <w:i w:val="0"/>
                <w:iCs w:val="0"/>
                <w:color w:val="3D4B64"/>
                <w:sz w:val="19"/>
                <w:szCs w:val="19"/>
              </w:rPr>
            </w:pP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证书名称</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证书编号</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职称专业</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项目负责人</w:t>
            </w:r>
          </w:p>
        </w:tc>
        <w:tc>
          <w:tcPr>
            <w:tcW w:w="117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刘钦源</w:t>
            </w: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二级建造师</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eastAsia="zh-CN"/>
              </w:rPr>
              <w:t>川</w:t>
            </w:r>
            <w:r>
              <w:rPr>
                <w:rFonts w:hint="eastAsia" w:ascii="Arial" w:hAnsi="Arial" w:eastAsia="微软雅黑" w:cs="Arial"/>
                <w:color w:val="3D4B64"/>
                <w:sz w:val="19"/>
                <w:szCs w:val="19"/>
                <w:lang w:val="en-US" w:eastAsia="zh-CN"/>
              </w:rPr>
              <w:t>251181817469</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建筑工程</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项目技术负责人</w:t>
            </w:r>
          </w:p>
        </w:tc>
        <w:tc>
          <w:tcPr>
            <w:tcW w:w="117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胡华</w:t>
            </w:r>
          </w:p>
        </w:tc>
        <w:tc>
          <w:tcPr>
            <w:tcW w:w="1458"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职称证</w:t>
            </w:r>
          </w:p>
        </w:tc>
        <w:tc>
          <w:tcPr>
            <w:tcW w:w="30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val="en-US" w:eastAsia="zh-CN"/>
              </w:rPr>
              <w:t>31603409</w:t>
            </w:r>
          </w:p>
        </w:tc>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建筑施工</w:t>
            </w:r>
          </w:p>
        </w:tc>
        <w:tc>
          <w:tcPr>
            <w:tcW w:w="2047"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中级</w:t>
            </w:r>
          </w:p>
        </w:tc>
      </w:tr>
    </w:tbl>
    <w:p>
      <w:pPr>
        <w:rPr>
          <w:vanish/>
          <w:sz w:val="24"/>
          <w:szCs w:val="24"/>
        </w:rPr>
      </w:pPr>
    </w:p>
    <w:tbl>
      <w:tblPr>
        <w:tblStyle w:val="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00"/>
        <w:gridCol w:w="1210"/>
        <w:gridCol w:w="1210"/>
        <w:gridCol w:w="2143"/>
        <w:gridCol w:w="1264"/>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rPr>
                <w:rFonts w:hint="default" w:ascii="Arial" w:hAnsi="Arial" w:eastAsia="微软雅黑" w:cs="Arial"/>
                <w:color w:val="3D4B64"/>
                <w:sz w:val="19"/>
                <w:szCs w:val="19"/>
              </w:rPr>
            </w:pP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rPr>
                <w:rFonts w:hint="default" w:ascii="Arial" w:hAnsi="Arial" w:eastAsia="微软雅黑" w:cs="Arial"/>
                <w:color w:val="3D4B64"/>
                <w:sz w:val="19"/>
                <w:szCs w:val="19"/>
              </w:rPr>
            </w:pP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第一中标候选人技术负责人类似业绩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rPr>
                <w:rFonts w:hint="default" w:ascii="Arial" w:hAnsi="Arial" w:eastAsia="微软雅黑" w:cs="Arial"/>
                <w:color w:val="3D4B64"/>
                <w:sz w:val="19"/>
                <w:szCs w:val="19"/>
              </w:rPr>
            </w:pP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rPr>
                <w:rFonts w:hint="default" w:ascii="Arial" w:hAnsi="Arial" w:eastAsia="微软雅黑" w:cs="Arial"/>
                <w:color w:val="3D4B64"/>
                <w:sz w:val="19"/>
                <w:szCs w:val="19"/>
              </w:rPr>
            </w:pP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第二中标候选人技术负责人类似业绩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rPr>
                <w:rFonts w:hint="default" w:ascii="Arial" w:hAnsi="Arial" w:eastAsia="微软雅黑" w:cs="Arial"/>
                <w:color w:val="3D4B64"/>
                <w:sz w:val="19"/>
                <w:szCs w:val="19"/>
              </w:rPr>
            </w:pP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rPr>
                <w:rFonts w:hint="default" w:ascii="Arial" w:hAnsi="Arial" w:eastAsia="微软雅黑" w:cs="Arial"/>
                <w:color w:val="3D4B64"/>
                <w:sz w:val="19"/>
                <w:szCs w:val="19"/>
              </w:rPr>
            </w:pP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第三中标候选人项目负责人类似业绩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70" w:type="dxa"/>
            <w:gridSpan w:val="7"/>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第三中标候选人技术负责人类似业绩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80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项目业主</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项目名称</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开工日期</w:t>
            </w:r>
          </w:p>
        </w:tc>
        <w:tc>
          <w:tcPr>
            <w:tcW w:w="2143"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竣工（交工）日期</w:t>
            </w:r>
          </w:p>
        </w:tc>
        <w:tc>
          <w:tcPr>
            <w:tcW w:w="126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建设规模</w:t>
            </w:r>
          </w:p>
        </w:tc>
        <w:tc>
          <w:tcPr>
            <w:tcW w:w="1554"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合同价格（元）</w:t>
            </w:r>
          </w:p>
        </w:tc>
        <w:tc>
          <w:tcPr>
            <w:tcW w:w="2089"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 </w:t>
            </w:r>
          </w:p>
        </w:tc>
        <w:tc>
          <w:tcPr>
            <w:tcW w:w="1210" w:type="dxa"/>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w:t>
            </w:r>
          </w:p>
        </w:tc>
        <w:tc>
          <w:tcPr>
            <w:tcW w:w="1210" w:type="dxa"/>
            <w:shd w:val="clear" w:color="auto" w:fill="auto"/>
            <w:vAlign w:val="center"/>
          </w:tcPr>
          <w:p>
            <w:pPr>
              <w:rPr>
                <w:rFonts w:hint="default" w:ascii="Arial" w:hAnsi="Arial" w:eastAsia="微软雅黑" w:cs="Arial"/>
                <w:color w:val="3D4B64"/>
                <w:sz w:val="19"/>
                <w:szCs w:val="19"/>
              </w:rPr>
            </w:pPr>
          </w:p>
        </w:tc>
        <w:tc>
          <w:tcPr>
            <w:tcW w:w="2143" w:type="dxa"/>
            <w:shd w:val="clear" w:color="auto" w:fill="auto"/>
            <w:vAlign w:val="center"/>
          </w:tcPr>
          <w:p>
            <w:pPr>
              <w:rPr>
                <w:rFonts w:hint="default" w:ascii="Arial" w:hAnsi="Arial" w:eastAsia="微软雅黑" w:cs="Arial"/>
                <w:color w:val="3D4B64"/>
                <w:sz w:val="19"/>
                <w:szCs w:val="19"/>
              </w:rPr>
            </w:pPr>
          </w:p>
        </w:tc>
        <w:tc>
          <w:tcPr>
            <w:tcW w:w="1264" w:type="dxa"/>
            <w:shd w:val="clear" w:color="auto" w:fill="auto"/>
            <w:vAlign w:val="center"/>
          </w:tcPr>
          <w:p>
            <w:pPr>
              <w:rPr>
                <w:rFonts w:hint="default" w:ascii="Arial" w:hAnsi="Arial" w:eastAsia="微软雅黑" w:cs="Arial"/>
                <w:color w:val="3D4B64"/>
                <w:sz w:val="19"/>
                <w:szCs w:val="19"/>
              </w:rPr>
            </w:pPr>
          </w:p>
        </w:tc>
        <w:tc>
          <w:tcPr>
            <w:tcW w:w="1554" w:type="dxa"/>
            <w:shd w:val="clear" w:color="auto" w:fill="auto"/>
            <w:vAlign w:val="center"/>
          </w:tcPr>
          <w:p>
            <w:pPr>
              <w:rPr>
                <w:rFonts w:hint="default" w:ascii="Arial" w:hAnsi="Arial" w:eastAsia="微软雅黑" w:cs="Arial"/>
                <w:color w:val="3D4B64"/>
                <w:sz w:val="19"/>
                <w:szCs w:val="19"/>
              </w:rPr>
            </w:pPr>
          </w:p>
        </w:tc>
        <w:tc>
          <w:tcPr>
            <w:tcW w:w="2089" w:type="dxa"/>
            <w:shd w:val="clear" w:color="auto" w:fill="auto"/>
            <w:vAlign w:val="center"/>
          </w:tcPr>
          <w:p>
            <w:pPr>
              <w:rPr>
                <w:rFonts w:hint="default" w:ascii="Arial" w:hAnsi="Arial" w:eastAsia="微软雅黑" w:cs="Arial"/>
                <w:color w:val="3D4B64"/>
                <w:sz w:val="19"/>
                <w:szCs w:val="19"/>
              </w:rPr>
            </w:pPr>
          </w:p>
        </w:tc>
      </w:tr>
    </w:tbl>
    <w:p>
      <w:pPr>
        <w:rPr>
          <w:vanish/>
          <w:sz w:val="24"/>
          <w:szCs w:val="24"/>
        </w:rPr>
      </w:pPr>
    </w:p>
    <w:tbl>
      <w:tblPr>
        <w:tblStyle w:val="4"/>
        <w:tblW w:w="4033"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457"/>
        <w:gridCol w:w="3461"/>
        <w:gridCol w:w="346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000" w:type="pct"/>
            <w:gridSpan w:val="4"/>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其他投标人（除中标候选人之外的）评审情况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534" w:type="pc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投标人名称</w:t>
            </w:r>
          </w:p>
        </w:tc>
        <w:tc>
          <w:tcPr>
            <w:tcW w:w="1536" w:type="pc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投标报价（元）或否决投标依据条款（投标文件被认定为不合格所依据的招标文件评标办法中的评审因素和评审标准的条款）</w:t>
            </w:r>
          </w:p>
        </w:tc>
        <w:tc>
          <w:tcPr>
            <w:tcW w:w="1536" w:type="pc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经评审的投标价（元）或否决投标理由（投标文件被认定为不合格的具体事实,不得简单地表述为未响应招标文件实质性内容、某处有问题等）</w:t>
            </w:r>
          </w:p>
        </w:tc>
        <w:tc>
          <w:tcPr>
            <w:tcW w:w="392" w:type="pct"/>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b w:val="0"/>
                <w:bCs w:val="0"/>
                <w:i w:val="0"/>
                <w:iCs w:val="0"/>
                <w:color w:val="3D4B64"/>
                <w:sz w:val="19"/>
                <w:szCs w:val="19"/>
              </w:rPr>
            </w:pPr>
            <w:r>
              <w:rPr>
                <w:rFonts w:hint="default" w:ascii="Arial" w:hAnsi="Arial" w:eastAsia="微软雅黑" w:cs="Arial"/>
                <w:b w:val="0"/>
                <w:bCs w:val="0"/>
                <w:i w:val="0"/>
                <w:iCs w:val="0"/>
                <w:color w:val="3D4B64"/>
                <w:kern w:val="0"/>
                <w:sz w:val="19"/>
                <w:szCs w:val="19"/>
                <w:lang w:val="en-US" w:eastAsia="zh-CN" w:bidi="ar"/>
              </w:rPr>
              <w:t>综合评估得分或备注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rPr>
                <w:rFonts w:hint="eastAsia" w:ascii="Arial" w:hAnsi="Arial" w:eastAsia="微软雅黑" w:cs="Arial"/>
                <w:color w:val="3D4B64"/>
                <w:sz w:val="19"/>
                <w:szCs w:val="19"/>
                <w:lang w:eastAsia="zh-CN"/>
              </w:rPr>
            </w:pPr>
            <w:r>
              <w:rPr>
                <w:rFonts w:hint="eastAsia" w:ascii="Arial" w:hAnsi="Arial" w:eastAsia="微软雅黑" w:cs="Arial"/>
                <w:color w:val="3D4B64"/>
                <w:sz w:val="19"/>
                <w:szCs w:val="19"/>
                <w:lang w:eastAsia="zh-CN"/>
              </w:rPr>
              <w:t>四川吉庆源建筑工程有限公司</w:t>
            </w:r>
          </w:p>
        </w:tc>
        <w:tc>
          <w:tcPr>
            <w:tcW w:w="0" w:type="auto"/>
            <w:shd w:val="clear" w:color="auto" w:fill="auto"/>
            <w:vAlign w:val="center"/>
          </w:tcPr>
          <w:p>
            <w:pPr>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eastAsia="zh-CN"/>
              </w:rPr>
              <w:t>下浮</w:t>
            </w:r>
            <w:r>
              <w:rPr>
                <w:rFonts w:hint="eastAsia" w:ascii="Arial" w:hAnsi="Arial" w:eastAsia="微软雅黑" w:cs="Arial"/>
                <w:color w:val="3D4B64"/>
                <w:sz w:val="19"/>
                <w:szCs w:val="19"/>
                <w:lang w:val="en-US" w:eastAsia="zh-CN"/>
              </w:rPr>
              <w:t>5.13%</w:t>
            </w:r>
          </w:p>
        </w:tc>
        <w:tc>
          <w:tcPr>
            <w:tcW w:w="0" w:type="auto"/>
            <w:shd w:val="clear" w:color="auto" w:fill="auto"/>
            <w:vAlign w:val="center"/>
          </w:tcPr>
          <w:p>
            <w:pPr>
              <w:rPr>
                <w:rFonts w:hint="default" w:ascii="Arial" w:hAnsi="Arial" w:eastAsia="微软雅黑" w:cs="Arial"/>
                <w:color w:val="3D4B64"/>
                <w:sz w:val="19"/>
                <w:szCs w:val="19"/>
              </w:rPr>
            </w:pPr>
            <w:r>
              <w:rPr>
                <w:rFonts w:hint="eastAsia" w:ascii="Arial" w:hAnsi="Arial" w:eastAsia="微软雅黑" w:cs="Arial"/>
                <w:color w:val="3D4B64"/>
                <w:sz w:val="19"/>
                <w:szCs w:val="19"/>
                <w:lang w:eastAsia="zh-CN"/>
              </w:rPr>
              <w:t>下浮</w:t>
            </w:r>
            <w:r>
              <w:rPr>
                <w:rFonts w:hint="eastAsia" w:ascii="Arial" w:hAnsi="Arial" w:eastAsia="微软雅黑" w:cs="Arial"/>
                <w:color w:val="3D4B64"/>
                <w:sz w:val="19"/>
                <w:szCs w:val="19"/>
                <w:lang w:val="en-US" w:eastAsia="zh-CN"/>
              </w:rPr>
              <w:t>5.13%</w:t>
            </w:r>
          </w:p>
        </w:tc>
        <w:tc>
          <w:tcPr>
            <w:tcW w:w="392" w:type="pct"/>
            <w:shd w:val="clear" w:color="auto" w:fill="auto"/>
            <w:vAlign w:val="center"/>
          </w:tcPr>
          <w:p>
            <w:pPr>
              <w:rPr>
                <w:rFonts w:hint="default" w:ascii="Arial" w:hAnsi="Arial" w:eastAsia="微软雅黑" w:cs="Arial"/>
                <w:color w:val="3D4B64"/>
                <w:sz w:val="19"/>
                <w:szCs w:val="19"/>
                <w:lang w:val="en-US" w:eastAsia="zh-CN"/>
              </w:rPr>
            </w:pPr>
            <w:r>
              <w:rPr>
                <w:rFonts w:hint="eastAsia" w:ascii="Arial" w:hAnsi="Arial" w:eastAsia="微软雅黑" w:cs="Arial"/>
                <w:color w:val="3D4B64"/>
                <w:sz w:val="19"/>
                <w:szCs w:val="19"/>
                <w:lang w:val="en-US" w:eastAsia="zh-CN"/>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line="18" w:lineRule="atLeast"/>
              <w:ind w:left="0" w:right="0"/>
              <w:jc w:val="left"/>
              <w:rPr>
                <w:rFonts w:hint="default" w:ascii="Arial" w:hAnsi="Arial" w:eastAsia="微软雅黑" w:cs="Arial"/>
                <w:color w:val="3D4B64"/>
                <w:sz w:val="19"/>
                <w:szCs w:val="19"/>
              </w:rPr>
            </w:pPr>
            <w:r>
              <w:rPr>
                <w:rFonts w:hint="default" w:ascii="Arial" w:hAnsi="Arial" w:eastAsia="微软雅黑" w:cs="Arial"/>
                <w:color w:val="3D4B64"/>
                <w:kern w:val="0"/>
                <w:sz w:val="19"/>
                <w:szCs w:val="19"/>
                <w:lang w:val="en-US" w:eastAsia="zh-CN" w:bidi="ar"/>
              </w:rPr>
              <w:t>异议投诉注意事项</w:t>
            </w:r>
          </w:p>
        </w:tc>
        <w:tc>
          <w:tcPr>
            <w:tcW w:w="3465" w:type="pct"/>
            <w:gridSpan w:val="3"/>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rPr>
                <w:rFonts w:hint="default" w:ascii="Arial" w:hAnsi="Arial" w:eastAsia="微软雅黑" w:cs="Arial"/>
                <w:color w:val="3D4B64"/>
                <w:sz w:val="19"/>
                <w:szCs w:val="19"/>
              </w:rPr>
            </w:pPr>
            <w:r>
              <w:rPr>
                <w:rFonts w:hint="default" w:ascii="Arial" w:hAnsi="Arial" w:eastAsia="微软雅黑" w:cs="Arial"/>
                <w:color w:val="3D4B64"/>
                <w:sz w:val="19"/>
                <w:szCs w:val="19"/>
              </w:rPr>
              <w:t xml:space="preserve">1.投标人或者其他利害关系人对依法必须进行招标的项目的评标结果有异议的，应当在中标候选人公示期间提出。招标人应当自收到异议之日起3日内作出答复；作出答复前，应当暂停招标投标活动。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rPr>
                <w:rFonts w:hint="default" w:ascii="Arial" w:hAnsi="Arial" w:eastAsia="微软雅黑" w:cs="Arial"/>
                <w:color w:val="3D4B64"/>
                <w:sz w:val="19"/>
                <w:szCs w:val="19"/>
              </w:rPr>
            </w:pPr>
            <w:r>
              <w:rPr>
                <w:rFonts w:hint="default" w:ascii="Arial" w:hAnsi="Arial" w:eastAsia="微软雅黑" w:cs="Arial"/>
                <w:color w:val="3D4B64"/>
                <w:sz w:val="19"/>
                <w:szCs w:val="19"/>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rPr>
                <w:rFonts w:hint="default" w:ascii="Arial" w:hAnsi="Arial" w:eastAsia="微软雅黑" w:cs="Arial"/>
                <w:color w:val="3D4B64"/>
                <w:sz w:val="19"/>
                <w:szCs w:val="19"/>
              </w:rPr>
            </w:pPr>
            <w:r>
              <w:rPr>
                <w:rFonts w:hint="default" w:ascii="Arial" w:hAnsi="Arial" w:eastAsia="微软雅黑" w:cs="Arial"/>
                <w:color w:val="3D4B64"/>
                <w:sz w:val="19"/>
                <w:szCs w:val="19"/>
              </w:rPr>
              <w:t xml:space="preserve">3.对评标结果的投诉，涉及投标人弄虚作假骗取中标的由行业主管部门负责受理，涉及评标错误或评标无效的由项目审批部门负责受理。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rPr>
                <w:rFonts w:hint="default" w:ascii="Arial" w:hAnsi="Arial" w:eastAsia="微软雅黑" w:cs="Arial"/>
                <w:color w:val="3D4B64"/>
                <w:sz w:val="19"/>
                <w:szCs w:val="19"/>
              </w:rPr>
            </w:pPr>
            <w:r>
              <w:rPr>
                <w:rFonts w:hint="default" w:ascii="Arial" w:hAnsi="Arial" w:eastAsia="微软雅黑" w:cs="Arial"/>
                <w:color w:val="3D4B64"/>
                <w:sz w:val="19"/>
                <w:szCs w:val="19"/>
              </w:rPr>
              <w:t xml:space="preserve">4.投诉人就同一事项向两个以上有权受理的行政监督部门投诉的，由最先收到投诉的行政监督部门负责处理。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rPr>
                <w:rFonts w:hint="default" w:ascii="Arial" w:hAnsi="Arial" w:eastAsia="微软雅黑" w:cs="Arial"/>
                <w:color w:val="3D4B64"/>
                <w:sz w:val="19"/>
                <w:szCs w:val="19"/>
              </w:rPr>
            </w:pPr>
            <w:r>
              <w:rPr>
                <w:rFonts w:hint="default" w:ascii="Arial" w:hAnsi="Arial" w:eastAsia="微软雅黑" w:cs="Arial"/>
                <w:color w:val="3D4B64"/>
                <w:sz w:val="19"/>
                <w:szCs w:val="19"/>
              </w:rPr>
              <w:t xml:space="preserve">5.应先提出异议没有提出异议，超过投诉时效等不符合受理条件的投诉，有关行政监督部门不予受理；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rPr>
                <w:rFonts w:hint="default" w:ascii="Arial" w:hAnsi="Arial" w:eastAsia="微软雅黑" w:cs="Arial"/>
                <w:color w:val="3D4B64"/>
                <w:sz w:val="19"/>
                <w:szCs w:val="19"/>
              </w:rPr>
            </w:pPr>
            <w:r>
              <w:rPr>
                <w:rFonts w:hint="default" w:ascii="Arial" w:hAnsi="Arial" w:eastAsia="微软雅黑" w:cs="Arial"/>
                <w:color w:val="3D4B64"/>
                <w:sz w:val="19"/>
                <w:szCs w:val="19"/>
              </w:rPr>
              <w:t xml:space="preserve">投诉人故意捏造事实、伪造证明材料或者以非法手段取得证明材料进行投诉，给他人造成损失的，依法承担赔偿责任。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6.投标人或者利害关系人提出异议或提出投诉的，应当凭CA数字证书登录泸州市公共资源交易网在线依法提出，招标人、有关监督部门负责依法处理。 </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2.中标候选人是联合体的，“中标候选人名称”中联合体各方的名称均应填写。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3.表中的“中标候选人类似业绩”和“中标候选人项目负责人类似业绩” 应填写中标候选人在投标文件中所附所有业绩。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4.表中的“项目负责人”施工招标指项目经理、 监理招标指项目总监等；表中的“项目技术负责人”是指项目主要技术人员或项目总工，如设计中只有多个专业技术负责人，应都作为项目技术负责人，扩展表格，分别填写。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5.表中的“开工日期”和“竣工日期”、“交工日期”以各有关行政监督部门相关规定为准。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6.日期（年月日）的格式统一以阿拉伯数字表示。如：2015年9月1日，填写为20150901； 2015年9月，填写为201509； 再如2015年，填写为2015，2015/9/15 9:00:00填写为20150915－9:00:00。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7.表中的“合同价格”，是指承包人按合同约定完成了包括缺陷责任期内的全部承包工作后，发包人应付给承包人的金额，包括在履行合同过程中按合同约定进行的变更和调整。元指人民币元。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8.表中的“建设规模”采购招标应填写主要货物的数量、类型、规格等技术参数。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 xml:space="preserve">10.投标人认为评标委员会对本单位的评审可能存在错误的，可以在公示期内要求招标人提供评标报告中关于本单位的评审内容，招标人在收到投标人申请之日起，3日内予以答复。招标人不得泄露其他投标人相关的评标内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47" w:right="0"/>
        <w:textAlignment w:val="auto"/>
      </w:pPr>
      <w:r>
        <w:rPr>
          <w:rFonts w:hint="default" w:ascii="Arial" w:hAnsi="Arial" w:eastAsia="微软雅黑" w:cs="Arial"/>
          <w:color w:val="3D4B64"/>
          <w:sz w:val="19"/>
          <w:szCs w:val="19"/>
        </w:rPr>
        <w:t>11.中标候选人公示纸质文本招标人须加盖单位公章，多页还应加盖骑缝章。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50911"/>
    <w:rsid w:val="0B162259"/>
    <w:rsid w:val="0DCD021D"/>
    <w:rsid w:val="30D5493B"/>
    <w:rsid w:val="452545F6"/>
    <w:rsid w:val="4B2A367D"/>
    <w:rsid w:val="5CB87EC9"/>
    <w:rsid w:val="6CD354CB"/>
    <w:rsid w:val="7E450911"/>
    <w:rsid w:val="7E645619"/>
    <w:rsid w:val="7E8D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sz w:val="30"/>
      <w:szCs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hint="default" w:ascii="monospace" w:hAnsi="monospace" w:eastAsia="monospace" w:cs="monospace"/>
      <w:vanish/>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2534</Words>
  <Characters>2764</Characters>
  <Lines>0</Lines>
  <Paragraphs>0</Paragraphs>
  <TotalTime>0</TotalTime>
  <ScaleCrop>false</ScaleCrop>
  <LinksUpToDate>false</LinksUpToDate>
  <CharactersWithSpaces>2803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2022-04-22T03:03:00Z</dcterms:created>
  <dc:creator>Administrator</dc:creator>
  <cp:lastModifiedBy>静……历程！</cp:lastModifiedBy>
  <dcterms:modified xsi:type="dcterms:W3CDTF">2022-04-22T08:38:10Z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DA19098FAE044239B0DCF3A11256B854</vt:lpwstr>
  </property>
  <property fmtid="{D5CDD505-2E9C-101B-9397-08002B2CF9AE}" pid="4" name="commondata">
    <vt:lpwstr>eyJoZGlkIjoiMTAwZDQ4ZTNhMmU2YjM5MDQyMzYwNDIxY2E2OGEyZjAifQ==</vt:lpwstr>
  </property>
</Properties>
</file>